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21A7D7B5" w:rsidR="00B2350A" w:rsidRDefault="004A1D34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68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09CD79C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629 740,9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5B8D441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665 165,9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7E53F107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346 603,2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342 169,3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0F5903A7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261 603,2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E21CDA">
        <w:rPr>
          <w:rFonts w:ascii="Times New Roman" w:hAnsi="Times New Roman" w:cs="Times New Roman"/>
          <w:sz w:val="28"/>
          <w:szCs w:val="28"/>
        </w:rPr>
        <w:t> 242 169,3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55C85007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21CDA">
        <w:rPr>
          <w:rFonts w:ascii="Times New Roman" w:hAnsi="Times New Roman" w:cs="Times New Roman"/>
          <w:sz w:val="28"/>
          <w:szCs w:val="28"/>
        </w:rPr>
        <w:t>67 426,3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23F5FBEF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E21CDA">
        <w:rPr>
          <w:rFonts w:ascii="Times New Roman" w:hAnsi="Times New Roman" w:cs="Times New Roman"/>
          <w:sz w:val="28"/>
          <w:szCs w:val="28"/>
        </w:rPr>
        <w:t>22 043,5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Утвердить Программу муниципальных внешних заимствований муниципального образования муниципальный округ город Горячий Ключ Крас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</w:t>
      </w:r>
      <w:r w:rsidRPr="00B2350A">
        <w:rPr>
          <w:rFonts w:ascii="Times New Roman" w:hAnsi="Times New Roman" w:cs="Times New Roman"/>
          <w:sz w:val="28"/>
          <w:szCs w:val="28"/>
        </w:rPr>
        <w:lastRenderedPageBreak/>
        <w:t>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3251</TotalTime>
  <Pages>8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385</cp:revision>
  <cp:lastPrinted>2024-11-13T11:04:00Z</cp:lastPrinted>
  <dcterms:created xsi:type="dcterms:W3CDTF">2016-09-30T13:56:00Z</dcterms:created>
  <dcterms:modified xsi:type="dcterms:W3CDTF">2025-06-10T13:10:00Z</dcterms:modified>
</cp:coreProperties>
</file>